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6E" w:rsidRDefault="00065E6E"/>
    <w:p w:rsidR="00065E6E" w:rsidRDefault="00065E6E"/>
    <w:p w:rsidR="00247F06" w:rsidRDefault="00065E6E" w:rsidP="00065E6E">
      <w:pPr>
        <w:jc w:val="right"/>
      </w:pPr>
      <w:r>
        <w:tab/>
        <w:t>Biała Podlaska, dnia 30 grudnia 2022 r.</w:t>
      </w:r>
    </w:p>
    <w:p w:rsidR="00065E6E" w:rsidRDefault="00065E6E" w:rsidP="00065E6E">
      <w:r>
        <w:t>Dane Zamawiającego:</w:t>
      </w:r>
    </w:p>
    <w:p w:rsidR="00065E6E" w:rsidRDefault="00065E6E" w:rsidP="00065E6E">
      <w:pPr>
        <w:spacing w:after="0" w:line="240" w:lineRule="auto"/>
      </w:pPr>
      <w:r>
        <w:t xml:space="preserve">P.P.U.H. „ORION” </w:t>
      </w:r>
      <w:proofErr w:type="spellStart"/>
      <w:r>
        <w:t>Sacewicz</w:t>
      </w:r>
      <w:proofErr w:type="spellEnd"/>
      <w:r>
        <w:t xml:space="preserve"> Krzysztof</w:t>
      </w:r>
    </w:p>
    <w:p w:rsidR="00065E6E" w:rsidRDefault="00065E6E" w:rsidP="00065E6E">
      <w:pPr>
        <w:spacing w:after="0" w:line="240" w:lineRule="auto"/>
      </w:pPr>
      <w:r>
        <w:t xml:space="preserve">ul. </w:t>
      </w:r>
      <w:proofErr w:type="spellStart"/>
      <w:r>
        <w:t>Sidorska</w:t>
      </w:r>
      <w:proofErr w:type="spellEnd"/>
      <w:r>
        <w:t xml:space="preserve"> 2G</w:t>
      </w:r>
    </w:p>
    <w:p w:rsidR="00065E6E" w:rsidRDefault="00065E6E" w:rsidP="00065E6E">
      <w:pPr>
        <w:spacing w:after="0" w:line="240" w:lineRule="auto"/>
      </w:pPr>
      <w:r>
        <w:t xml:space="preserve">21-500 </w:t>
      </w:r>
      <w:proofErr w:type="spellStart"/>
      <w:r>
        <w:t>Biala</w:t>
      </w:r>
      <w:proofErr w:type="spellEnd"/>
      <w:r>
        <w:t xml:space="preserve"> Podlaska</w:t>
      </w:r>
    </w:p>
    <w:p w:rsidR="00065E6E" w:rsidRDefault="002D2F00" w:rsidP="00065E6E">
      <w:pPr>
        <w:spacing w:after="0" w:line="240" w:lineRule="auto"/>
      </w:pPr>
      <w:r>
        <w:t>NIP: 5370003849</w:t>
      </w:r>
    </w:p>
    <w:p w:rsidR="008E50B7" w:rsidRDefault="008E50B7" w:rsidP="00065E6E">
      <w:pPr>
        <w:spacing w:after="0" w:line="240" w:lineRule="auto"/>
      </w:pPr>
    </w:p>
    <w:p w:rsidR="002D2F00" w:rsidRDefault="002D2F00" w:rsidP="00065E6E">
      <w:pPr>
        <w:spacing w:after="0" w:line="240" w:lineRule="auto"/>
      </w:pPr>
    </w:p>
    <w:p w:rsidR="00065E6E" w:rsidRDefault="00065E6E" w:rsidP="00065E6E">
      <w:pPr>
        <w:spacing w:after="0" w:line="240" w:lineRule="auto"/>
      </w:pPr>
    </w:p>
    <w:p w:rsidR="00065E6E" w:rsidRDefault="00065E6E" w:rsidP="00065E6E">
      <w:pPr>
        <w:spacing w:after="0" w:line="240" w:lineRule="auto"/>
        <w:jc w:val="center"/>
      </w:pPr>
      <w:r>
        <w:t>ZAPYTANIE OFERTOWE NR 1/2022</w:t>
      </w:r>
    </w:p>
    <w:p w:rsidR="008E50B7" w:rsidRDefault="008E50B7" w:rsidP="00065E6E">
      <w:pPr>
        <w:spacing w:after="0" w:line="240" w:lineRule="auto"/>
        <w:jc w:val="center"/>
      </w:pPr>
    </w:p>
    <w:p w:rsidR="00065E6E" w:rsidRDefault="00065E6E" w:rsidP="00065E6E">
      <w:pPr>
        <w:spacing w:after="0" w:line="240" w:lineRule="auto"/>
        <w:jc w:val="center"/>
      </w:pPr>
    </w:p>
    <w:p w:rsidR="00065E6E" w:rsidRDefault="00065E6E" w:rsidP="004C14F3">
      <w:pPr>
        <w:spacing w:after="0" w:line="240" w:lineRule="auto"/>
        <w:jc w:val="both"/>
      </w:pPr>
      <w:r>
        <w:t xml:space="preserve">W związku z planowaną realizacją przez P.P.U.H. „ORION” </w:t>
      </w:r>
      <w:proofErr w:type="spellStart"/>
      <w:r>
        <w:t>Sacewicz</w:t>
      </w:r>
      <w:proofErr w:type="spellEnd"/>
      <w:r>
        <w:t xml:space="preserve"> Krzysztof, ul. </w:t>
      </w:r>
      <w:proofErr w:type="spellStart"/>
      <w:r>
        <w:t>Sidorska</w:t>
      </w:r>
      <w:proofErr w:type="spellEnd"/>
      <w:r>
        <w:t xml:space="preserve"> 2G,21-500 Biała Podlaska (zwanym dalej: Zamawiającym) projektu w ramach programu priorytetowego  </w:t>
      </w:r>
      <w:r w:rsidR="004C14F3">
        <w:br/>
      </w:r>
      <w:r>
        <w:t xml:space="preserve">nr 6.4 „Zeroemisyjny transport Wsparcie infrastruktury ładowania pojazdów elektrycznych </w:t>
      </w:r>
      <w:r w:rsidR="004C14F3">
        <w:br/>
      </w:r>
      <w:r>
        <w:t>i infrastruktury tankowania wodoru” pn. „Budowa dwóch stacji ładowania o mocach nie mniejszej  niż 22kW na potrzeby własne przedsiębiorstwa</w:t>
      </w:r>
      <w:r w:rsidR="004C14F3">
        <w:t xml:space="preserve">”  (zwanym dalej: Projektem), zwracamy się z prośbą </w:t>
      </w:r>
      <w:r w:rsidR="004C14F3">
        <w:br/>
        <w:t>o przedstawienie ofert na następujący przedmiot zamówienia:</w:t>
      </w:r>
    </w:p>
    <w:p w:rsidR="004C14F3" w:rsidRDefault="004C14F3" w:rsidP="004C14F3">
      <w:pPr>
        <w:spacing w:after="0" w:line="240" w:lineRule="auto"/>
        <w:jc w:val="both"/>
      </w:pPr>
    </w:p>
    <w:p w:rsidR="004C14F3" w:rsidRDefault="004C14F3" w:rsidP="004C14F3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Szczegółowy opis przedmiotu zamówienia:</w:t>
      </w:r>
    </w:p>
    <w:p w:rsidR="004C14F3" w:rsidRDefault="004C14F3" w:rsidP="004C14F3">
      <w:pPr>
        <w:spacing w:after="0" w:line="240" w:lineRule="auto"/>
        <w:jc w:val="both"/>
      </w:pPr>
    </w:p>
    <w:p w:rsidR="004C14F3" w:rsidRDefault="004C14F3" w:rsidP="004C14F3">
      <w:pPr>
        <w:spacing w:after="0" w:line="240" w:lineRule="auto"/>
        <w:jc w:val="both"/>
      </w:pPr>
      <w:r>
        <w:t>Przedmiotem zamówienia jest zakup, montaż i uruchomienie stacji ładowania pojazdów elektrycznych</w:t>
      </w:r>
      <w:r w:rsidR="00DE4FD6">
        <w:t xml:space="preserve"> na potrzeby własne  przedsiębiorstwa</w:t>
      </w:r>
      <w:r>
        <w:t xml:space="preserve"> o parametrach:</w:t>
      </w:r>
    </w:p>
    <w:p w:rsidR="004C14F3" w:rsidRDefault="004C14F3" w:rsidP="004C14F3">
      <w:pPr>
        <w:spacing w:after="0" w:line="240" w:lineRule="auto"/>
        <w:jc w:val="both"/>
      </w:pPr>
    </w:p>
    <w:p w:rsidR="004C14F3" w:rsidRDefault="004C14F3" w:rsidP="004C14F3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Wolnostojąca stacja ładowania pojazdów elektrycznych, wyposażona w dwa punkty ładowania, umożliwiająca ładowanie prądem przemiennym, fabrycznie nowa</w:t>
      </w:r>
      <w:r w:rsidR="00DF7922">
        <w:t>- 2 sztuki</w:t>
      </w:r>
      <w:r>
        <w:t xml:space="preserve">; </w:t>
      </w:r>
    </w:p>
    <w:p w:rsidR="004C14F3" w:rsidRDefault="004C14F3" w:rsidP="004C14F3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Liczba obsługiwanych jednocześnie pojazdów elektrycznych – co najmniej dwa </w:t>
      </w:r>
    </w:p>
    <w:p w:rsidR="004C14F3" w:rsidRDefault="004C14F3" w:rsidP="004C14F3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Licznik energii zgodny z MID </w:t>
      </w:r>
    </w:p>
    <w:p w:rsidR="004C14F3" w:rsidRDefault="004C14F3" w:rsidP="004C14F3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Obsługa kart RFID</w:t>
      </w:r>
      <w:r w:rsidR="00EF1F08">
        <w:t xml:space="preserve"> </w:t>
      </w:r>
      <w:r w:rsidR="00EF1F08" w:rsidRPr="00EF1F08">
        <w:rPr>
          <w:rFonts w:cstheme="minorHAnsi"/>
          <w:color w:val="000000"/>
          <w:bdr w:val="none" w:sz="0" w:space="0" w:color="auto" w:frame="1"/>
          <w:shd w:val="clear" w:color="auto" w:fill="FFFFFF"/>
        </w:rPr>
        <w:t>(ISO/IEC 14443A/B, ISO/IEC 15693)</w:t>
      </w:r>
    </w:p>
    <w:p w:rsidR="004C14F3" w:rsidRDefault="004C14F3" w:rsidP="004C14F3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Parametry ochronne: </w:t>
      </w:r>
    </w:p>
    <w:p w:rsidR="004C14F3" w:rsidRDefault="004C14F3" w:rsidP="004C14F3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Zabezpieczenie przed nadmiernym prądem; </w:t>
      </w:r>
    </w:p>
    <w:p w:rsidR="004C14F3" w:rsidRDefault="004C14F3" w:rsidP="004C14F3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Zabezpieczenie przed przeciążeniem; </w:t>
      </w:r>
    </w:p>
    <w:p w:rsidR="004C14F3" w:rsidRDefault="004C14F3" w:rsidP="004C14F3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Zabezpieczenie przed spadkiem napięcia; </w:t>
      </w:r>
    </w:p>
    <w:p w:rsidR="004C14F3" w:rsidRDefault="004C14F3" w:rsidP="004C14F3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Zabezpieczenie ziemnozwarciowe, w tym zabezpieczenie upływowe DC; </w:t>
      </w:r>
    </w:p>
    <w:p w:rsidR="004C14F3" w:rsidRDefault="004C14F3" w:rsidP="004C14F3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Zintegrowana ochrona przed przepięciem; </w:t>
      </w:r>
    </w:p>
    <w:p w:rsidR="004C14F3" w:rsidRDefault="004C14F3" w:rsidP="004C14F3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Wyłącznik różnicowo-prądowy RCD typu B lub wyłącznik różnicowo-prądowy typu A z dodatkowym modułem wykrywającym przepływ różnicowego prądu stałego o wartości powyżej 6mA; </w:t>
      </w:r>
    </w:p>
    <w:p w:rsidR="00EF1F08" w:rsidRDefault="004C14F3" w:rsidP="00EF1F08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Minimalne klasy odporności na warunki atmosferyczne: IP-54 oraz IK-8; </w:t>
      </w:r>
      <w:bookmarkStart w:id="0" w:name="tbIV06"/>
    </w:p>
    <w:p w:rsidR="00EF1F08" w:rsidRPr="00EF1F08" w:rsidRDefault="00EF1F08" w:rsidP="00EF1F08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EF1F08">
        <w:rPr>
          <w:rFonts w:cstheme="minorHAnsi"/>
          <w:color w:val="000000"/>
          <w:bdr w:val="none" w:sz="0" w:space="0" w:color="auto" w:frame="1"/>
          <w:shd w:val="clear" w:color="auto" w:fill="FFFFFF"/>
        </w:rPr>
        <w:t xml:space="preserve">Klasa szczelności obudowy IP54, </w:t>
      </w:r>
    </w:p>
    <w:p w:rsidR="00EF1F08" w:rsidRPr="00EF1F08" w:rsidRDefault="00EF1F08" w:rsidP="00EF1F08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EF1F08">
        <w:rPr>
          <w:rFonts w:cstheme="minorHAnsi"/>
          <w:color w:val="000000"/>
          <w:bdr w:val="none" w:sz="0" w:space="0" w:color="auto" w:frame="1"/>
          <w:shd w:val="clear" w:color="auto" w:fill="FFFFFF"/>
        </w:rPr>
        <w:t xml:space="preserve">Odporność na udar IK10, Prąd znamionowy Max. 2 × (3 × 32A) </w:t>
      </w:r>
      <w:bookmarkEnd w:id="0"/>
    </w:p>
    <w:p w:rsidR="001A142B" w:rsidRDefault="004C14F3" w:rsidP="001A142B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Parametry umożliwiające współpracę z oprogramowaniem Power EV: </w:t>
      </w:r>
    </w:p>
    <w:p w:rsidR="001A142B" w:rsidRDefault="004C14F3" w:rsidP="001A142B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Sterownik OCPP – stacja musi być wyposażona w sterownik umożliwiający komunikację za pomocą protokołu OCPP (wersja OCPP</w:t>
      </w:r>
      <w:r w:rsidR="00EF1F08">
        <w:t xml:space="preserve"> 1.5, </w:t>
      </w:r>
      <w:r>
        <w:t xml:space="preserve"> 1.6 lub nowsza); </w:t>
      </w:r>
    </w:p>
    <w:p w:rsidR="001A142B" w:rsidRDefault="004C14F3" w:rsidP="001A142B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Moduł komunikacji LTE (</w:t>
      </w:r>
      <w:r w:rsidR="00EF1F08">
        <w:t>3G/</w:t>
      </w:r>
      <w:r>
        <w:t xml:space="preserve">4G) – przemysłowy sterownik komunikacyjny z wejściem na dwie karty SIM; </w:t>
      </w:r>
    </w:p>
    <w:p w:rsidR="00EF1F08" w:rsidRDefault="00EF1F08" w:rsidP="001A142B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lastRenderedPageBreak/>
        <w:t>Aplikacje mobilne, MODBUS</w:t>
      </w:r>
    </w:p>
    <w:p w:rsidR="001A142B" w:rsidRDefault="004C14F3" w:rsidP="001A142B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Aktualizacje bezprzewodowe „</w:t>
      </w:r>
      <w:proofErr w:type="spellStart"/>
      <w:r>
        <w:t>over</w:t>
      </w:r>
      <w:proofErr w:type="spellEnd"/>
      <w:r>
        <w:t>-the-</w:t>
      </w:r>
      <w:proofErr w:type="spellStart"/>
      <w:r>
        <w:t>air</w:t>
      </w:r>
      <w:proofErr w:type="spellEnd"/>
      <w:r>
        <w:t xml:space="preserve">”; </w:t>
      </w:r>
    </w:p>
    <w:p w:rsidR="00EF1F08" w:rsidRDefault="00EF1F08" w:rsidP="00EF1F08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Parametry zasilania </w:t>
      </w:r>
      <w:r w:rsidRPr="00EF1F08">
        <w:rPr>
          <w:rFonts w:cstheme="minorHAnsi"/>
          <w:color w:val="000000"/>
          <w:bdr w:val="none" w:sz="0" w:space="0" w:color="auto" w:frame="1"/>
          <w:shd w:val="clear" w:color="auto" w:fill="FFFFFF"/>
        </w:rPr>
        <w:t xml:space="preserve">L1, L2, L3, N, PE Cu 2.5-50mm2, Al 6-50mm2, 230/400 V AC, 50 </w:t>
      </w:r>
      <w:proofErr w:type="spellStart"/>
      <w:r w:rsidRPr="00EF1F08">
        <w:rPr>
          <w:rFonts w:cstheme="minorHAnsi"/>
          <w:color w:val="000000"/>
          <w:bdr w:val="none" w:sz="0" w:space="0" w:color="auto" w:frame="1"/>
          <w:shd w:val="clear" w:color="auto" w:fill="FFFFFF"/>
        </w:rPr>
        <w:t>Hz</w:t>
      </w:r>
      <w:proofErr w:type="spellEnd"/>
    </w:p>
    <w:p w:rsidR="001A142B" w:rsidRDefault="004C14F3" w:rsidP="001A142B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 Stacja wyprodukowana na terenie Europejskiego Obszaru Gospodarczego; </w:t>
      </w:r>
    </w:p>
    <w:p w:rsidR="001A142B" w:rsidRDefault="004C14F3" w:rsidP="001A142B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 Stacja ładowania musi spełniać definicję i wymagania wskazane w ustawie o </w:t>
      </w:r>
      <w:proofErr w:type="spellStart"/>
      <w:r>
        <w:t>elektromobilności</w:t>
      </w:r>
      <w:proofErr w:type="spellEnd"/>
      <w:r>
        <w:t xml:space="preserve"> i paliwach alternatywnych. </w:t>
      </w:r>
    </w:p>
    <w:p w:rsidR="001A142B" w:rsidRDefault="004C14F3" w:rsidP="001A142B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Parametry złączy ładowania prądem zmiennym: </w:t>
      </w:r>
    </w:p>
    <w:p w:rsidR="001A142B" w:rsidRDefault="004C14F3" w:rsidP="001A142B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Złącze 1: wtyk Typu 2 z kablem spiralnym o długości min. 3,8m </w:t>
      </w:r>
    </w:p>
    <w:p w:rsidR="001A142B" w:rsidRDefault="004C14F3" w:rsidP="001A142B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Złącze 2: wtyk Typu 2 z kablem spiralnym o długości min. 3,8m </w:t>
      </w:r>
    </w:p>
    <w:p w:rsidR="004C14F3" w:rsidRDefault="004C14F3" w:rsidP="001A142B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Parametry ładowania prądem przemiennym a. Znamionowa moc wyjściowa prądu przemiennego każdego punktu ładowania: 22kW</w:t>
      </w:r>
    </w:p>
    <w:p w:rsidR="001A142B" w:rsidRDefault="001A142B" w:rsidP="001A142B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Stacja wykonana ze stali nierdzewnej.</w:t>
      </w:r>
    </w:p>
    <w:p w:rsidR="001A142B" w:rsidRDefault="001A142B" w:rsidP="001A142B">
      <w:pPr>
        <w:spacing w:after="0" w:line="240" w:lineRule="auto"/>
        <w:ind w:left="360"/>
        <w:jc w:val="both"/>
      </w:pPr>
    </w:p>
    <w:p w:rsidR="004C14F3" w:rsidRDefault="004C14F3" w:rsidP="00065E6E">
      <w:pPr>
        <w:spacing w:after="0" w:line="240" w:lineRule="auto"/>
        <w:jc w:val="both"/>
      </w:pPr>
    </w:p>
    <w:p w:rsidR="004C14F3" w:rsidRDefault="004C14F3" w:rsidP="00065E6E">
      <w:pPr>
        <w:spacing w:after="0" w:line="240" w:lineRule="auto"/>
        <w:jc w:val="both"/>
      </w:pPr>
    </w:p>
    <w:p w:rsidR="001A142B" w:rsidRDefault="004C14F3" w:rsidP="00065E6E">
      <w:pPr>
        <w:spacing w:after="0" w:line="240" w:lineRule="auto"/>
        <w:jc w:val="both"/>
      </w:pPr>
      <w:r>
        <w:t xml:space="preserve">Główne kody we Wspólnym Słowniku Zamówienia CPV: </w:t>
      </w:r>
    </w:p>
    <w:p w:rsidR="00EF1F08" w:rsidRDefault="00EF1F08" w:rsidP="00065E6E">
      <w:pPr>
        <w:spacing w:after="0" w:line="240" w:lineRule="auto"/>
        <w:jc w:val="both"/>
      </w:pPr>
    </w:p>
    <w:p w:rsidR="001A142B" w:rsidRDefault="004C14F3" w:rsidP="00065E6E">
      <w:pPr>
        <w:spacing w:after="0" w:line="240" w:lineRule="auto"/>
        <w:jc w:val="both"/>
      </w:pPr>
      <w:r>
        <w:t xml:space="preserve">− 31600000-2 Sprzęt i aparatura elektryczna </w:t>
      </w:r>
    </w:p>
    <w:p w:rsidR="001A142B" w:rsidRDefault="004C14F3" w:rsidP="00065E6E">
      <w:pPr>
        <w:spacing w:after="0" w:line="240" w:lineRule="auto"/>
        <w:jc w:val="both"/>
      </w:pPr>
      <w:r>
        <w:t>− 45000000-7 Roboty budowlane</w:t>
      </w:r>
    </w:p>
    <w:p w:rsidR="001A142B" w:rsidRDefault="004C14F3" w:rsidP="00065E6E">
      <w:pPr>
        <w:spacing w:after="0" w:line="240" w:lineRule="auto"/>
        <w:jc w:val="both"/>
      </w:pPr>
      <w:r>
        <w:t xml:space="preserve">− 45310000-3 Roboty instalacyjne elektryczne </w:t>
      </w:r>
    </w:p>
    <w:p w:rsidR="001A142B" w:rsidRDefault="004C14F3" w:rsidP="00065E6E">
      <w:pPr>
        <w:spacing w:after="0" w:line="240" w:lineRule="auto"/>
        <w:jc w:val="both"/>
      </w:pPr>
      <w:r>
        <w:t xml:space="preserve">− 45111291-4 Roboty w zakresie zagospodarowania terenu </w:t>
      </w:r>
    </w:p>
    <w:p w:rsidR="001A142B" w:rsidRDefault="001A142B" w:rsidP="00065E6E">
      <w:pPr>
        <w:spacing w:after="0" w:line="240" w:lineRule="auto"/>
        <w:jc w:val="both"/>
      </w:pPr>
    </w:p>
    <w:p w:rsidR="001A142B" w:rsidRDefault="004C14F3" w:rsidP="00065E6E">
      <w:pPr>
        <w:spacing w:after="0" w:line="240" w:lineRule="auto"/>
        <w:jc w:val="both"/>
      </w:pPr>
      <w:r>
        <w:t xml:space="preserve">Obligatoryjne warunki: </w:t>
      </w:r>
    </w:p>
    <w:p w:rsidR="00EF1F08" w:rsidRDefault="00EF1F08" w:rsidP="00065E6E">
      <w:pPr>
        <w:spacing w:after="0" w:line="240" w:lineRule="auto"/>
        <w:jc w:val="both"/>
      </w:pPr>
    </w:p>
    <w:p w:rsidR="001A142B" w:rsidRDefault="004C14F3" w:rsidP="00065E6E">
      <w:pPr>
        <w:spacing w:after="0" w:line="240" w:lineRule="auto"/>
        <w:jc w:val="both"/>
      </w:pPr>
      <w:r>
        <w:t>−</w:t>
      </w:r>
      <w:r w:rsidR="00DE4FD6">
        <w:t xml:space="preserve"> Ważność oferty: min. 14</w:t>
      </w:r>
      <w:r>
        <w:t xml:space="preserve"> dni </w:t>
      </w:r>
    </w:p>
    <w:p w:rsidR="00DE4FD6" w:rsidRDefault="00DE4FD6" w:rsidP="00065E6E">
      <w:pPr>
        <w:spacing w:after="0" w:line="240" w:lineRule="auto"/>
        <w:jc w:val="both"/>
      </w:pPr>
    </w:p>
    <w:p w:rsidR="001A142B" w:rsidRDefault="004C14F3" w:rsidP="00065E6E">
      <w:pPr>
        <w:spacing w:after="0" w:line="240" w:lineRule="auto"/>
        <w:jc w:val="both"/>
      </w:pPr>
      <w:r>
        <w:t>Zamawiający uzna warunek za spełniony, jeżeli Wykonawca wskaże ważność oferty w formularzu ofertowym załączonym do niniejszego zapytania</w:t>
      </w:r>
      <w:r w:rsidR="008E76D8">
        <w:t>.</w:t>
      </w:r>
      <w:bookmarkStart w:id="1" w:name="_GoBack"/>
      <w:bookmarkEnd w:id="1"/>
      <w:r>
        <w:t xml:space="preserve"> </w:t>
      </w:r>
    </w:p>
    <w:p w:rsidR="001955CC" w:rsidRDefault="004C14F3" w:rsidP="00065E6E">
      <w:pPr>
        <w:spacing w:after="0" w:line="240" w:lineRule="auto"/>
        <w:jc w:val="both"/>
      </w:pPr>
      <w:r>
        <w:t>− Termin realizacji: dostawa stacji ładowania pojazdów elektrycznych, prace projektowe, wykonawcze oraz odbiory winny zostać zrealizowa</w:t>
      </w:r>
      <w:r w:rsidR="00EF1F08">
        <w:t>ne w terminie nie dłuższym niż 9</w:t>
      </w:r>
      <w:r>
        <w:t>0 dni</w:t>
      </w:r>
      <w:r w:rsidR="0009366A">
        <w:t xml:space="preserve"> od dnia podpisania umowy wykonania</w:t>
      </w:r>
      <w:r>
        <w:t xml:space="preserve">. </w:t>
      </w:r>
    </w:p>
    <w:p w:rsidR="001955CC" w:rsidRDefault="001955CC" w:rsidP="00065E6E">
      <w:pPr>
        <w:spacing w:after="0" w:line="240" w:lineRule="auto"/>
        <w:jc w:val="both"/>
      </w:pPr>
    </w:p>
    <w:p w:rsidR="001955CC" w:rsidRDefault="001955CC" w:rsidP="001955CC">
      <w:pPr>
        <w:spacing w:after="0" w:line="240" w:lineRule="auto"/>
        <w:jc w:val="both"/>
      </w:pPr>
      <w:r>
        <w:t xml:space="preserve">II. </w:t>
      </w:r>
      <w:r w:rsidR="004C14F3">
        <w:t xml:space="preserve">Wykonawca winien złożyć ofertę na formularzu załączonym do niniejszego zapytania. </w:t>
      </w:r>
      <w:r>
        <w:t xml:space="preserve"> </w:t>
      </w:r>
    </w:p>
    <w:p w:rsidR="001955CC" w:rsidRDefault="001955CC" w:rsidP="001955CC">
      <w:pPr>
        <w:spacing w:after="0" w:line="240" w:lineRule="auto"/>
        <w:jc w:val="both"/>
      </w:pPr>
    </w:p>
    <w:p w:rsidR="001955CC" w:rsidRDefault="004C14F3" w:rsidP="001955CC">
      <w:pPr>
        <w:jc w:val="both"/>
      </w:pPr>
      <w:r>
        <w:t>Składając ofertę, Wykonawca oświadcza, że posiada wiedzę, dośw</w:t>
      </w:r>
      <w:r w:rsidR="001955CC">
        <w:t xml:space="preserve">iadczenie, wymagane uprawnienia, </w:t>
      </w:r>
      <w:r>
        <w:t>odpowiedni potencjał techniczny oraz osobowy niezbędny do wykonania przedmiotu zamówienia</w:t>
      </w:r>
      <w:r w:rsidR="001955CC">
        <w:t xml:space="preserve"> </w:t>
      </w:r>
      <w:r w:rsidR="001955CC" w:rsidRPr="00D84C4D">
        <w:t>oraz odpowiednie zabezpieczenie finansowe oraz ubezpieczenie OC na okres realizacji zamówienia</w:t>
      </w:r>
      <w:r w:rsidRPr="00D84C4D">
        <w:t>.</w:t>
      </w:r>
      <w:r>
        <w:t xml:space="preserve"> </w:t>
      </w:r>
    </w:p>
    <w:p w:rsidR="001955CC" w:rsidRDefault="004C14F3" w:rsidP="001955CC">
      <w:r>
        <w:t xml:space="preserve">Obligatoryjne elementy oferty: </w:t>
      </w:r>
    </w:p>
    <w:p w:rsidR="001955CC" w:rsidRDefault="004C14F3" w:rsidP="001955CC">
      <w:pPr>
        <w:spacing w:after="0"/>
      </w:pPr>
      <w:r>
        <w:t xml:space="preserve">- oznaczenie Wykonawcy </w:t>
      </w:r>
    </w:p>
    <w:p w:rsidR="001955CC" w:rsidRDefault="004C14F3" w:rsidP="001955CC">
      <w:pPr>
        <w:spacing w:after="0"/>
      </w:pPr>
      <w:r>
        <w:t xml:space="preserve">- termin ważności oferty </w:t>
      </w:r>
    </w:p>
    <w:p w:rsidR="001955CC" w:rsidRDefault="004C14F3" w:rsidP="001955CC">
      <w:pPr>
        <w:spacing w:after="0"/>
      </w:pPr>
      <w:r>
        <w:t>- cena za wykonanie przedmiotu zamówienia wyrażona w złotych polskich w rozbiciu na poszczególne zadania oraz pozycje zawarte w formularzu cenowym</w:t>
      </w:r>
    </w:p>
    <w:p w:rsidR="001955CC" w:rsidRDefault="004C14F3" w:rsidP="001955CC">
      <w:r>
        <w:t xml:space="preserve"> - termin realizacji zamówienia</w:t>
      </w:r>
    </w:p>
    <w:p w:rsidR="001955CC" w:rsidRDefault="004C14F3" w:rsidP="001955CC">
      <w:r>
        <w:t>III. Wybór najkorzystniejszej oferty nastąpi w oparciu o następujące kryteria:</w:t>
      </w:r>
    </w:p>
    <w:p w:rsidR="001955CC" w:rsidRDefault="004C14F3" w:rsidP="001955CC">
      <w:pPr>
        <w:spacing w:after="0"/>
      </w:pPr>
      <w:r>
        <w:t xml:space="preserve"> − Cena (waga kryterium: 90%) </w:t>
      </w:r>
    </w:p>
    <w:p w:rsidR="001955CC" w:rsidRDefault="004C14F3" w:rsidP="001955CC">
      <w:r>
        <w:t xml:space="preserve">− Termin realizacji (waga kryterium: 10%) </w:t>
      </w:r>
    </w:p>
    <w:p w:rsidR="001955CC" w:rsidRDefault="004C14F3" w:rsidP="001955CC">
      <w:pPr>
        <w:jc w:val="both"/>
      </w:pPr>
      <w:r>
        <w:lastRenderedPageBreak/>
        <w:t xml:space="preserve">Ostateczny wybór oferenta z najwyższą sumą punktów, z którym nastąpi podpisanie umowy, nastąpi zgodnie z procedurą wyboru opisaną w niniejszym zapytaniu ofertowym. </w:t>
      </w:r>
    </w:p>
    <w:p w:rsidR="001955CC" w:rsidRDefault="004C14F3" w:rsidP="001955CC">
      <w:pPr>
        <w:jc w:val="both"/>
      </w:pPr>
      <w:r>
        <w:t xml:space="preserve">Zamawiający zastrzega sobie prawo do przeprowadzenia dodatkowej rundy negocjacji cenowej z Wykonawcami. Po upływie terminu na składanie ofert, Zamawiający ma prawo do wyznaczenia dodatkowego terminu na składanie ofert ostatecznych z ceną nie większą niż kwota zaoferowana w ofercie pierwotnej. </w:t>
      </w:r>
    </w:p>
    <w:p w:rsidR="001955CC" w:rsidRDefault="004C14F3" w:rsidP="001955CC">
      <w:pPr>
        <w:jc w:val="both"/>
      </w:pPr>
      <w:r>
        <w:t>IV. Opis sposobu przyznawania punktacji w ramach poszczególnych kryteriów przyznawania punktów:</w:t>
      </w:r>
    </w:p>
    <w:p w:rsidR="001955CC" w:rsidRDefault="004C14F3" w:rsidP="001955CC">
      <w:pPr>
        <w:jc w:val="both"/>
      </w:pPr>
      <w:r>
        <w:t xml:space="preserve"> − Liczba punktów w kryterium „Cena” będzie przyznawana według przedstawionego poniżej wzoru: </w:t>
      </w:r>
    </w:p>
    <w:p w:rsidR="001955CC" w:rsidRDefault="004C14F3" w:rsidP="001955CC">
      <w:pPr>
        <w:jc w:val="center"/>
      </w:pPr>
      <w:r>
        <w:t>P=</w:t>
      </w:r>
      <w:proofErr w:type="spellStart"/>
      <w:r>
        <w:t>Cmin</w:t>
      </w:r>
      <w:proofErr w:type="spellEnd"/>
      <w:r>
        <w:t>/Co x 90</w:t>
      </w:r>
    </w:p>
    <w:p w:rsidR="001955CC" w:rsidRDefault="004C14F3" w:rsidP="001955CC">
      <w:pPr>
        <w:jc w:val="both"/>
      </w:pPr>
      <w:r>
        <w:t xml:space="preserve">Podane wartości oznaczają: </w:t>
      </w:r>
    </w:p>
    <w:p w:rsidR="001955CC" w:rsidRDefault="004C14F3" w:rsidP="001955CC">
      <w:pPr>
        <w:spacing w:after="0"/>
        <w:jc w:val="both"/>
      </w:pPr>
      <w:r>
        <w:t xml:space="preserve">P – liczba punktów danej oferty w kryterium „Cena” </w:t>
      </w:r>
    </w:p>
    <w:p w:rsidR="001955CC" w:rsidRDefault="004C14F3" w:rsidP="001955CC">
      <w:pPr>
        <w:spacing w:after="0"/>
        <w:jc w:val="both"/>
      </w:pPr>
      <w:proofErr w:type="spellStart"/>
      <w:r>
        <w:t>Cmin</w:t>
      </w:r>
      <w:proofErr w:type="spellEnd"/>
      <w:r>
        <w:t xml:space="preserve"> – najmniejsza cena ze wszystkich ofert niepodlegających odrzuceniu </w:t>
      </w:r>
    </w:p>
    <w:p w:rsidR="001955CC" w:rsidRDefault="004C14F3" w:rsidP="001955CC">
      <w:pPr>
        <w:jc w:val="both"/>
      </w:pPr>
      <w:r>
        <w:t xml:space="preserve">Co – cena badanej oferty </w:t>
      </w:r>
    </w:p>
    <w:p w:rsidR="001955CC" w:rsidRDefault="004C14F3" w:rsidP="001955CC">
      <w:pPr>
        <w:jc w:val="both"/>
      </w:pPr>
      <w:r>
        <w:t xml:space="preserve">Maksymalna liczba punktów w tym kryterium – 90 pkt. </w:t>
      </w:r>
    </w:p>
    <w:p w:rsidR="001955CC" w:rsidRDefault="004C14F3" w:rsidP="001955CC">
      <w:pPr>
        <w:jc w:val="both"/>
      </w:pPr>
      <w:r>
        <w:t xml:space="preserve">− Liczba punktów w kryterium „Termin realizacji” będzie przyznawana według przedstawionego poniżej wzoru: </w:t>
      </w:r>
    </w:p>
    <w:p w:rsidR="001955CC" w:rsidRDefault="001955CC" w:rsidP="001955CC">
      <w:pPr>
        <w:spacing w:after="0"/>
        <w:jc w:val="both"/>
      </w:pPr>
      <w:r>
        <w:t>Termin realizacji: do 9</w:t>
      </w:r>
      <w:r w:rsidR="004C14F3">
        <w:t xml:space="preserve">0 dni – 0 pkt. </w:t>
      </w:r>
    </w:p>
    <w:p w:rsidR="001955CC" w:rsidRDefault="004C14F3" w:rsidP="001955CC">
      <w:pPr>
        <w:spacing w:after="0"/>
        <w:jc w:val="both"/>
      </w:pPr>
      <w:r>
        <w:t xml:space="preserve">Termin realizacji: do 50 dni – 5 pkt. </w:t>
      </w:r>
    </w:p>
    <w:p w:rsidR="001955CC" w:rsidRDefault="001955CC" w:rsidP="001955CC">
      <w:pPr>
        <w:jc w:val="both"/>
      </w:pPr>
      <w:r>
        <w:t>Termin realizacji: do 3</w:t>
      </w:r>
      <w:r w:rsidR="004C14F3">
        <w:t xml:space="preserve">0 dni – 10 pkt. </w:t>
      </w:r>
    </w:p>
    <w:p w:rsidR="000574C9" w:rsidRDefault="000574C9" w:rsidP="001955CC">
      <w:pPr>
        <w:jc w:val="both"/>
      </w:pPr>
      <w:r>
        <w:t>Maksymalna liczba punktów w tym kryterium- 10 pkt.</w:t>
      </w:r>
    </w:p>
    <w:p w:rsidR="001955CC" w:rsidRDefault="004C14F3" w:rsidP="001955CC">
      <w:pPr>
        <w:jc w:val="both"/>
      </w:pPr>
      <w:r>
        <w:t xml:space="preserve">Podane wartości oznaczają: </w:t>
      </w:r>
    </w:p>
    <w:p w:rsidR="001955CC" w:rsidRDefault="004C14F3" w:rsidP="001955CC">
      <w:pPr>
        <w:jc w:val="both"/>
      </w:pPr>
      <w:r>
        <w:t xml:space="preserve">T – liczba punktów danej oferty w kryterium „Termin realizacji” </w:t>
      </w:r>
    </w:p>
    <w:p w:rsidR="001955CC" w:rsidRDefault="004C14F3" w:rsidP="001955CC">
      <w:pPr>
        <w:jc w:val="both"/>
      </w:pPr>
      <w:r>
        <w:t xml:space="preserve">Suma punktów będąca podstawą wyboru oferty (max 100 punktów) przyznana danej ofercie będzie obliczana według wzoru: </w:t>
      </w:r>
    </w:p>
    <w:p w:rsidR="001955CC" w:rsidRDefault="004C14F3" w:rsidP="001955CC">
      <w:pPr>
        <w:jc w:val="center"/>
      </w:pPr>
      <w:r>
        <w:t xml:space="preserve">S = Po + T </w:t>
      </w:r>
    </w:p>
    <w:p w:rsidR="008E50B7" w:rsidRDefault="004C14F3" w:rsidP="001955CC">
      <w:pPr>
        <w:jc w:val="both"/>
      </w:pPr>
      <w:r>
        <w:t>V.</w:t>
      </w:r>
      <w:r w:rsidR="001955CC">
        <w:t xml:space="preserve"> </w:t>
      </w:r>
      <w:r>
        <w:t xml:space="preserve">Warunki składania ofert: Oferta może być przekazana na adres e-mail: </w:t>
      </w:r>
      <w:hyperlink r:id="rId8" w:history="1">
        <w:r w:rsidR="008E50B7" w:rsidRPr="00200A4E">
          <w:rPr>
            <w:rStyle w:val="Hipercze"/>
          </w:rPr>
          <w:t>biuro@orion-bp.pl</w:t>
        </w:r>
      </w:hyperlink>
      <w:r w:rsidR="008E50B7">
        <w:t xml:space="preserve"> </w:t>
      </w:r>
      <w:r w:rsidR="001955CC">
        <w:t xml:space="preserve">, osobiście </w:t>
      </w:r>
      <w:r>
        <w:t>lub drogą pocztową na adres:</w:t>
      </w:r>
    </w:p>
    <w:p w:rsidR="008E50B7" w:rsidRDefault="001955CC" w:rsidP="008E50B7">
      <w:pPr>
        <w:spacing w:after="0" w:line="240" w:lineRule="auto"/>
        <w:jc w:val="both"/>
      </w:pPr>
      <w:r>
        <w:t xml:space="preserve">P.P.U.H. „ORION” </w:t>
      </w:r>
      <w:proofErr w:type="spellStart"/>
      <w:r>
        <w:t>Sacewicz</w:t>
      </w:r>
      <w:proofErr w:type="spellEnd"/>
      <w:r>
        <w:t xml:space="preserve"> Krzysztof, </w:t>
      </w:r>
    </w:p>
    <w:p w:rsidR="008E50B7" w:rsidRDefault="001955CC" w:rsidP="008E50B7">
      <w:pPr>
        <w:spacing w:after="0" w:line="240" w:lineRule="auto"/>
        <w:jc w:val="both"/>
      </w:pPr>
      <w:r>
        <w:t xml:space="preserve">ul. Brzeska 170a, </w:t>
      </w:r>
    </w:p>
    <w:p w:rsidR="008E50B7" w:rsidRDefault="001955CC" w:rsidP="001955CC">
      <w:pPr>
        <w:jc w:val="both"/>
      </w:pPr>
      <w:r>
        <w:t>21-500 Biała Podlaska</w:t>
      </w:r>
      <w:r w:rsidR="004C14F3">
        <w:t xml:space="preserve"> </w:t>
      </w:r>
    </w:p>
    <w:p w:rsidR="001955CC" w:rsidRDefault="004C14F3" w:rsidP="001955CC">
      <w:pPr>
        <w:jc w:val="both"/>
      </w:pPr>
      <w:r>
        <w:t xml:space="preserve">(liczy się data wpływu oferty do siedziby Zamawiającego) </w:t>
      </w:r>
    </w:p>
    <w:p w:rsidR="001955CC" w:rsidRDefault="004C14F3" w:rsidP="001955CC">
      <w:pPr>
        <w:spacing w:after="0"/>
        <w:jc w:val="both"/>
      </w:pPr>
      <w:r>
        <w:t xml:space="preserve">- Termin składania ofert upływa w dniu </w:t>
      </w:r>
      <w:r w:rsidR="008E50B7">
        <w:t>1</w:t>
      </w:r>
      <w:r w:rsidR="0009366A">
        <w:t>6</w:t>
      </w:r>
      <w:r w:rsidR="008E50B7">
        <w:t xml:space="preserve"> stycznia</w:t>
      </w:r>
      <w:r>
        <w:t xml:space="preserve"> 202</w:t>
      </w:r>
      <w:r w:rsidR="008E50B7">
        <w:t>3</w:t>
      </w:r>
      <w:r>
        <w:t xml:space="preserve"> roku</w:t>
      </w:r>
      <w:r w:rsidR="00731472">
        <w:t xml:space="preserve"> o godz. 15:00</w:t>
      </w:r>
      <w:r>
        <w:t xml:space="preserve">, </w:t>
      </w:r>
    </w:p>
    <w:p w:rsidR="001955CC" w:rsidRDefault="004C14F3" w:rsidP="001955CC">
      <w:pPr>
        <w:spacing w:after="0"/>
        <w:jc w:val="both"/>
      </w:pPr>
      <w:r>
        <w:t xml:space="preserve">- Nie dopuszcza się składania ofert częściowych lub wariantowych </w:t>
      </w:r>
    </w:p>
    <w:p w:rsidR="001955CC" w:rsidRDefault="004C14F3" w:rsidP="001955CC">
      <w:pPr>
        <w:jc w:val="both"/>
      </w:pPr>
      <w:r>
        <w:lastRenderedPageBreak/>
        <w:t>- Wymaga</w:t>
      </w:r>
      <w:r w:rsidR="001955CC">
        <w:t>n</w:t>
      </w:r>
      <w:r w:rsidR="00784162">
        <w:t>y okres ważności oferty: min. 14</w:t>
      </w:r>
      <w:r>
        <w:t xml:space="preserve"> dni </w:t>
      </w:r>
    </w:p>
    <w:p w:rsidR="008E50B7" w:rsidRDefault="004C14F3" w:rsidP="001955CC">
      <w:pPr>
        <w:jc w:val="both"/>
      </w:pPr>
      <w:r>
        <w:t xml:space="preserve">- Dokumenty sporządzone w języku obcym należy złożyć wraz z ich tłumaczeniem na język polski </w:t>
      </w:r>
      <w:r w:rsidR="008E50B7">
        <w:br/>
      </w:r>
      <w:r>
        <w:t xml:space="preserve">- Zamawiający zastrzega sobie prawo do odwołania lub unieważnienia niniejszego postępowania ofertowego w dowolnym terminie bez podania przyczyny. </w:t>
      </w:r>
    </w:p>
    <w:p w:rsidR="008E50B7" w:rsidRDefault="004C14F3" w:rsidP="001955CC">
      <w:pPr>
        <w:jc w:val="both"/>
      </w:pPr>
      <w:r>
        <w:t xml:space="preserve">VI. Klauzula bezstronności: </w:t>
      </w:r>
    </w:p>
    <w:p w:rsidR="008E50B7" w:rsidRDefault="004C14F3" w:rsidP="001955CC">
      <w:pPr>
        <w:jc w:val="both"/>
      </w:pPr>
      <w:r>
        <w:t xml:space="preserve">Z udziału w niniejszym postępowaniu wykluczone są podmioty powiązane osobowo lub kapitałowo </w:t>
      </w:r>
      <w:r w:rsidR="008E50B7">
        <w:br/>
      </w:r>
      <w:r>
        <w:t xml:space="preserve">z Zamawiającym.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 </w:t>
      </w:r>
    </w:p>
    <w:p w:rsidR="008E50B7" w:rsidRDefault="004C14F3" w:rsidP="001955CC">
      <w:pPr>
        <w:jc w:val="both"/>
      </w:pPr>
      <w:r>
        <w:t xml:space="preserve">a) uczestniczeniu w spółce jako wspólnik spółki cywilnej lub spółki osobowej, </w:t>
      </w:r>
    </w:p>
    <w:p w:rsidR="008E50B7" w:rsidRDefault="004C14F3" w:rsidP="001955CC">
      <w:pPr>
        <w:jc w:val="both"/>
      </w:pPr>
      <w:r>
        <w:t>b) posiadaniu co najmniej 10% udziałów lub akcji,</w:t>
      </w:r>
    </w:p>
    <w:p w:rsidR="008E50B7" w:rsidRDefault="004C14F3" w:rsidP="001955CC">
      <w:pPr>
        <w:jc w:val="both"/>
      </w:pPr>
      <w:r>
        <w:t xml:space="preserve"> c) pełnieniu funkcji członka organu nadzorczego lub zarządzającego, prokurenta, pełnomocnika, </w:t>
      </w:r>
    </w:p>
    <w:p w:rsidR="008E50B7" w:rsidRDefault="004C14F3" w:rsidP="001955CC">
      <w:pPr>
        <w:jc w:val="both"/>
      </w:pPr>
      <w: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8E50B7" w:rsidRDefault="004C14F3" w:rsidP="001955CC">
      <w:pPr>
        <w:jc w:val="both"/>
      </w:pPr>
      <w:r>
        <w:t xml:space="preserve">VII. Dodatkowych informacji udziela Pan </w:t>
      </w:r>
      <w:r w:rsidR="008E50B7">
        <w:t xml:space="preserve">Krzysztof </w:t>
      </w:r>
      <w:proofErr w:type="spellStart"/>
      <w:r w:rsidR="008E50B7">
        <w:t>Sacewicz</w:t>
      </w:r>
      <w:proofErr w:type="spellEnd"/>
      <w:r>
        <w:t xml:space="preserve"> pod adresem e-mail: </w:t>
      </w:r>
      <w:hyperlink r:id="rId9" w:history="1">
        <w:r w:rsidR="008E50B7" w:rsidRPr="00200A4E">
          <w:rPr>
            <w:rStyle w:val="Hipercze"/>
          </w:rPr>
          <w:t>biuro@orion-bp.pl</w:t>
        </w:r>
      </w:hyperlink>
      <w:r w:rsidR="008E50B7">
        <w:t xml:space="preserve"> </w:t>
      </w:r>
      <w:r>
        <w:t xml:space="preserve"> </w:t>
      </w:r>
    </w:p>
    <w:p w:rsidR="008E50B7" w:rsidRDefault="008E50B7" w:rsidP="001955CC">
      <w:pPr>
        <w:jc w:val="both"/>
      </w:pPr>
    </w:p>
    <w:p w:rsidR="008E50B7" w:rsidRDefault="008E50B7" w:rsidP="001955CC">
      <w:pPr>
        <w:jc w:val="both"/>
      </w:pPr>
    </w:p>
    <w:p w:rsidR="008E50B7" w:rsidRDefault="008E50B7" w:rsidP="001955CC">
      <w:pPr>
        <w:jc w:val="both"/>
      </w:pPr>
    </w:p>
    <w:p w:rsidR="008E50B7" w:rsidRDefault="008E50B7" w:rsidP="001955CC">
      <w:pPr>
        <w:jc w:val="both"/>
      </w:pPr>
    </w:p>
    <w:p w:rsidR="008E50B7" w:rsidRDefault="008E50B7" w:rsidP="001955CC">
      <w:pPr>
        <w:jc w:val="both"/>
      </w:pPr>
    </w:p>
    <w:p w:rsidR="008E50B7" w:rsidRDefault="008E50B7" w:rsidP="001955CC">
      <w:pPr>
        <w:jc w:val="both"/>
      </w:pPr>
    </w:p>
    <w:p w:rsidR="008E50B7" w:rsidRDefault="008E50B7" w:rsidP="001955CC">
      <w:pPr>
        <w:jc w:val="both"/>
      </w:pPr>
    </w:p>
    <w:p w:rsidR="008E50B7" w:rsidRDefault="008E50B7" w:rsidP="001955CC">
      <w:pPr>
        <w:jc w:val="both"/>
      </w:pPr>
    </w:p>
    <w:p w:rsidR="008E50B7" w:rsidRDefault="008E50B7" w:rsidP="001955CC">
      <w:pPr>
        <w:jc w:val="both"/>
      </w:pPr>
    </w:p>
    <w:p w:rsidR="008E50B7" w:rsidRDefault="008E50B7" w:rsidP="001955CC">
      <w:pPr>
        <w:jc w:val="both"/>
      </w:pPr>
    </w:p>
    <w:p w:rsidR="008E50B7" w:rsidRDefault="004C14F3" w:rsidP="001955CC">
      <w:pPr>
        <w:jc w:val="both"/>
      </w:pPr>
      <w:r>
        <w:t xml:space="preserve">Załączniki: </w:t>
      </w:r>
    </w:p>
    <w:p w:rsidR="008E50B7" w:rsidRDefault="004C14F3" w:rsidP="008E50B7">
      <w:pPr>
        <w:spacing w:after="0"/>
        <w:jc w:val="both"/>
      </w:pPr>
      <w:r>
        <w:t xml:space="preserve">Załącznik nr 1 – formularz ofertowy </w:t>
      </w:r>
    </w:p>
    <w:p w:rsidR="004C14F3" w:rsidRDefault="004C14F3" w:rsidP="001955CC">
      <w:pPr>
        <w:jc w:val="both"/>
      </w:pPr>
      <w:r>
        <w:t>Załącznik nr 2 – formularz cenow</w:t>
      </w:r>
      <w:r w:rsidR="008E50B7">
        <w:t>y</w:t>
      </w:r>
    </w:p>
    <w:sectPr w:rsidR="004C14F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A36" w:rsidRDefault="00151A36" w:rsidP="004C14F3">
      <w:pPr>
        <w:spacing w:after="0" w:line="240" w:lineRule="auto"/>
      </w:pPr>
      <w:r>
        <w:separator/>
      </w:r>
    </w:p>
  </w:endnote>
  <w:endnote w:type="continuationSeparator" w:id="0">
    <w:p w:rsidR="00151A36" w:rsidRDefault="00151A36" w:rsidP="004C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A36" w:rsidRDefault="00151A36" w:rsidP="004C14F3">
      <w:pPr>
        <w:spacing w:after="0" w:line="240" w:lineRule="auto"/>
      </w:pPr>
      <w:r>
        <w:separator/>
      </w:r>
    </w:p>
  </w:footnote>
  <w:footnote w:type="continuationSeparator" w:id="0">
    <w:p w:rsidR="00151A36" w:rsidRDefault="00151A36" w:rsidP="004C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4F3" w:rsidRDefault="004C14F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3349373" wp14:editId="5309708D">
          <wp:simplePos x="0" y="0"/>
          <wp:positionH relativeFrom="column">
            <wp:posOffset>2200524</wp:posOffset>
          </wp:positionH>
          <wp:positionV relativeFrom="paragraph">
            <wp:posOffset>-363440</wp:posOffset>
          </wp:positionV>
          <wp:extent cx="1545590" cy="65151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FOŚiGW.jf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590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36EE8"/>
    <w:multiLevelType w:val="hybridMultilevel"/>
    <w:tmpl w:val="45B6B002"/>
    <w:lvl w:ilvl="0" w:tplc="76866E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554354"/>
    <w:multiLevelType w:val="hybridMultilevel"/>
    <w:tmpl w:val="FA1E1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F5606"/>
    <w:multiLevelType w:val="hybridMultilevel"/>
    <w:tmpl w:val="D16CD6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6563EB7"/>
    <w:multiLevelType w:val="hybridMultilevel"/>
    <w:tmpl w:val="B0A2C71A"/>
    <w:lvl w:ilvl="0" w:tplc="2FA890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8346FC"/>
    <w:multiLevelType w:val="hybridMultilevel"/>
    <w:tmpl w:val="4FF26C40"/>
    <w:lvl w:ilvl="0" w:tplc="E55446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E6E"/>
    <w:rsid w:val="000574C9"/>
    <w:rsid w:val="00065E6E"/>
    <w:rsid w:val="0009366A"/>
    <w:rsid w:val="00151A36"/>
    <w:rsid w:val="001955CC"/>
    <w:rsid w:val="001A142B"/>
    <w:rsid w:val="00247F06"/>
    <w:rsid w:val="002D2F00"/>
    <w:rsid w:val="004C14F3"/>
    <w:rsid w:val="0051155C"/>
    <w:rsid w:val="00731472"/>
    <w:rsid w:val="00784162"/>
    <w:rsid w:val="00794E31"/>
    <w:rsid w:val="008E50B7"/>
    <w:rsid w:val="008E76D8"/>
    <w:rsid w:val="00C346CE"/>
    <w:rsid w:val="00D84C4D"/>
    <w:rsid w:val="00DE4FD6"/>
    <w:rsid w:val="00DF7922"/>
    <w:rsid w:val="00EF1F08"/>
    <w:rsid w:val="00F4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5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E6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C14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4F3"/>
  </w:style>
  <w:style w:type="paragraph" w:styleId="Stopka">
    <w:name w:val="footer"/>
    <w:basedOn w:val="Normalny"/>
    <w:link w:val="StopkaZnak"/>
    <w:uiPriority w:val="99"/>
    <w:unhideWhenUsed/>
    <w:rsid w:val="004C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4F3"/>
  </w:style>
  <w:style w:type="character" w:styleId="Hipercze">
    <w:name w:val="Hyperlink"/>
    <w:basedOn w:val="Domylnaczcionkaakapitu"/>
    <w:uiPriority w:val="99"/>
    <w:unhideWhenUsed/>
    <w:rsid w:val="008E50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5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E6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C14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4F3"/>
  </w:style>
  <w:style w:type="paragraph" w:styleId="Stopka">
    <w:name w:val="footer"/>
    <w:basedOn w:val="Normalny"/>
    <w:link w:val="StopkaZnak"/>
    <w:uiPriority w:val="99"/>
    <w:unhideWhenUsed/>
    <w:rsid w:val="004C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4F3"/>
  </w:style>
  <w:style w:type="character" w:styleId="Hipercze">
    <w:name w:val="Hyperlink"/>
    <w:basedOn w:val="Domylnaczcionkaakapitu"/>
    <w:uiPriority w:val="99"/>
    <w:unhideWhenUsed/>
    <w:rsid w:val="008E50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orion-b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orion-b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1072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11</cp:revision>
  <cp:lastPrinted>2022-12-28T12:32:00Z</cp:lastPrinted>
  <dcterms:created xsi:type="dcterms:W3CDTF">2022-12-28T09:52:00Z</dcterms:created>
  <dcterms:modified xsi:type="dcterms:W3CDTF">2022-12-30T08:48:00Z</dcterms:modified>
</cp:coreProperties>
</file>